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76"/>
        <w:gridCol w:w="9342"/>
      </w:tblGrid>
      <w:tr w:rsidR="002F726A" w:rsidRPr="002F726A" w:rsidTr="002F726A">
        <w:tc>
          <w:tcPr>
            <w:tcW w:w="9918" w:type="dxa"/>
            <w:gridSpan w:val="2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</w:sdtPr>
              <w:sdtEndPr/>
              <w:sdtContent>
                <w:r w:rsidR="00082A7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082A7B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Centralna Ewidencja Emisyjności Budynków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</w:sdtPr>
              <w:sdtEndPr/>
              <w:sdtContent>
                <w:r w:rsidR="00082A7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082A7B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Centralna Ewidencja Emisyjności Budynków</w:t>
            </w: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</w:sdtPr>
              <w:sdtEndPr/>
              <w:sdtContent>
                <w:r w:rsidR="00082A7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</w:sdtPr>
              <w:sdtEndPr/>
              <w:sdtContent>
                <w:r w:rsidR="00082A7B" w:rsidRPr="00591F23">
                  <w:rPr>
                    <w:rFonts w:asciiTheme="minorHAnsi" w:hAnsiTheme="minorHAnsi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</w:sdtPr>
              <w:sdtEndPr/>
              <w:sdtContent>
                <w:r w:rsidRPr="00591F23">
                  <w:rPr>
                    <w:rFonts w:asciiTheme="minorHAnsi" w:hAnsiTheme="minorHAnsi" w:cstheme="minorBidi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591F23" w:rsidRPr="00591F23" w:rsidRDefault="00506074" w:rsidP="00506074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91F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Dane </w:t>
            </w:r>
            <w:r w:rsidR="00591F23" w:rsidRPr="00591F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 źródłach ciepła, energii elektrycznej lub spalania paliw wykorzystywanych w budynku lub jego części (lokalu):</w:t>
            </w:r>
          </w:p>
          <w:p w:rsidR="00591F23" w:rsidRPr="00591F23" w:rsidRDefault="00591F23" w:rsidP="00591F2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91F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rodzaj,</w:t>
            </w:r>
          </w:p>
          <w:p w:rsidR="00591F23" w:rsidRPr="00591F23" w:rsidRDefault="00591F23" w:rsidP="00591F2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91F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nominalna moc cieplna lub elektryczna,</w:t>
            </w:r>
          </w:p>
          <w:p w:rsidR="00591F23" w:rsidRPr="00AB2E4F" w:rsidRDefault="00591F23" w:rsidP="00AB2E4F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91F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rodzaj paliwa i jego roczne zużycie,</w:t>
            </w:r>
          </w:p>
          <w:p w:rsidR="00591F23" w:rsidRPr="00591F23" w:rsidRDefault="00591F23" w:rsidP="00591F2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91F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rok produkcji,</w:t>
            </w:r>
          </w:p>
          <w:p w:rsidR="00591F23" w:rsidRPr="00591F23" w:rsidRDefault="00591F23" w:rsidP="00591F2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91F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przeznaczenie,</w:t>
            </w:r>
          </w:p>
          <w:p w:rsidR="00591F23" w:rsidRDefault="00591F23" w:rsidP="00591F2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91F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potwierdzenie spełnienia wymagań standardów niskoemisyjnych, </w:t>
            </w:r>
          </w:p>
          <w:p w:rsidR="00AB2E4F" w:rsidRPr="00AB2E4F" w:rsidRDefault="00AB2E4F" w:rsidP="00AB2E4F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2E4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sposób podawania paliwa w kotle na paliwo stałe,</w:t>
            </w:r>
          </w:p>
          <w:p w:rsidR="00AB2E4F" w:rsidRPr="00AB2E4F" w:rsidRDefault="00AB2E4F" w:rsidP="00AB2E4F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2E4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sprawność przy mocy nominalnej kotła na paliwo stałe,</w:t>
            </w:r>
          </w:p>
          <w:p w:rsidR="00AB2E4F" w:rsidRPr="00AB2E4F" w:rsidRDefault="00AB2E4F" w:rsidP="00AB2E4F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2E4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urządzenie odpylające i jego sprawność w kotle na paliwo stałe,</w:t>
            </w:r>
          </w:p>
          <w:p w:rsidR="00DE4111" w:rsidRDefault="00591F23" w:rsidP="00DE411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91F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klasa kotła na paliwo stałe</w:t>
            </w:r>
            <w:r w:rsidR="008E5E4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</w:p>
          <w:p w:rsidR="00DE4111" w:rsidRDefault="00DE4111" w:rsidP="00DE411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ta</w:t>
            </w: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 wynik kontroli przewodów kominowych (dymowych, spalinowych i wentylacyjnych), o której  mowa w art. 62 ust. 1 pkt 1 lit. c ustawy z dnia 7 lipca 1994 r. – Prawo budowlane (Dz. U. z 2020 r. poz. 1186, z późn. zm.)</w:t>
            </w:r>
            <w:r w:rsidR="008E5E4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</w:p>
          <w:p w:rsidR="008E5E45" w:rsidRPr="00DE4111" w:rsidRDefault="008E5E45" w:rsidP="008E5E4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data</w:t>
            </w: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 wynik kontroli, o której mowa w art. 9u ustawy z dnia 13 września 1996 r. o utrzymaniu czystości i porządku w gminach (Dz. U. z 2019 r. poz. 2010 i 2020 oraz z 2020 r. poz. 150 i 284), w zakresie:</w:t>
            </w:r>
          </w:p>
          <w:p w:rsidR="008E5E45" w:rsidRPr="00DE4111" w:rsidRDefault="008E5E45" w:rsidP="008E5E45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gospodarowania odpadami komunalnymi,</w:t>
            </w:r>
          </w:p>
          <w:p w:rsidR="008E5E45" w:rsidRDefault="008E5E45" w:rsidP="008E5E45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odprowadzania nieczystości ciekłych;</w:t>
            </w:r>
          </w:p>
          <w:p w:rsidR="00DE4111" w:rsidRPr="00BB6F89" w:rsidRDefault="008E5E45" w:rsidP="00DE411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data</w:t>
            </w: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 wynik kontroli, o której mowa w art. 379 ust. 1 ustawy z dnia 27 kwietnia 2001 r. – Prawo ochrony środowiska (Dz. U. z 2019 r. poz. 1396, z późn. zm.), w zakresie:</w:t>
            </w:r>
          </w:p>
          <w:p w:rsidR="00DE4111" w:rsidRPr="00DE4111" w:rsidRDefault="00DE4111" w:rsidP="00DE4111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źródeł spalania paliw oraz rodzaju wykorzystywanego paliwa,</w:t>
            </w:r>
          </w:p>
          <w:p w:rsidR="00DE4111" w:rsidRPr="00DE4111" w:rsidRDefault="00DE4111" w:rsidP="00DE4111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spełnienia wymagań określonych w uchwale, o której mowa w art. 96 ust. 1 tej </w:t>
            </w: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>ustawy,</w:t>
            </w:r>
          </w:p>
          <w:p w:rsidR="00DE4111" w:rsidRPr="00DE4111" w:rsidRDefault="00DE4111" w:rsidP="00DE4111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ustalenia wysokości należnej opłaty za korzystanie ze środowiska, o której mowa w art. 284 ust. 1 tej ustawy;</w:t>
            </w:r>
          </w:p>
          <w:p w:rsidR="008E5E45" w:rsidRDefault="008E5E45" w:rsidP="00DE4111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dacie usunięcia zanieczyszczenia z przewodów dymowych i spalinowych, o których mowa w § 34 rozporządzenia Ministra Spraw Wewnętrznych i Administracji z dnia 7 czerwca 2010 r. w sprawie ochrony przeciwpożarowej budynków, innych obiektów budowlanych i terenów (Dz. U.  poz. 719 oraz z 2019 r. poz. 67);</w:t>
            </w:r>
          </w:p>
          <w:p w:rsidR="00DE4111" w:rsidRPr="00DE4111" w:rsidRDefault="00DE4111" w:rsidP="00DE4111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danych o przyznanej premii, udzielonej uldze podatkowej lub udzielonym ze środków publicznych dofinansowaniu przedsięwzięć związanych z ochroną powietrza, w zakresie: </w:t>
            </w:r>
          </w:p>
          <w:p w:rsidR="00DE4111" w:rsidRPr="00DE4111" w:rsidRDefault="00DE4111" w:rsidP="00DE4111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rodzaju i kwoty udzielonego dofinansowania,</w:t>
            </w:r>
          </w:p>
          <w:p w:rsidR="00DE4111" w:rsidRPr="00DE4111" w:rsidRDefault="00DE4111" w:rsidP="00DE4111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całkowitego kosztu przedsięwzięcia, </w:t>
            </w:r>
          </w:p>
          <w:p w:rsidR="00DE4111" w:rsidRPr="00DE4111" w:rsidRDefault="00DE4111" w:rsidP="00DE4111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przedmiotu i źródła dofinansowania, </w:t>
            </w:r>
          </w:p>
          <w:p w:rsidR="00DE4111" w:rsidRPr="00DE4111" w:rsidRDefault="00DE4111" w:rsidP="008E5E45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okresu trwałości przedsięwzięcia w ramach, którego udzielono dofinansowania;</w:t>
            </w:r>
          </w:p>
          <w:p w:rsidR="00DE4111" w:rsidRPr="00DE4111" w:rsidRDefault="00DE4111" w:rsidP="00DE411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danych o przyznanych świadczeniach z pomocy społecznej lub innych formach wsparcia finansowego ze środków publicznych w zakresie: </w:t>
            </w:r>
          </w:p>
          <w:p w:rsidR="00DE4111" w:rsidRPr="00DE4111" w:rsidRDefault="00DE4111" w:rsidP="00DE4111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rodzaju i kwoty przyznanego świadczenia, </w:t>
            </w:r>
          </w:p>
          <w:p w:rsidR="00DE4111" w:rsidRPr="00DE4111" w:rsidRDefault="00DE4111" w:rsidP="00DE4111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okres, na który przyznano pomoc.</w:t>
            </w: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</w:sdtPr>
              <w:sdtEndPr/>
              <w:sdtContent>
                <w:r w:rsidR="00082A7B" w:rsidRPr="00DE4111">
                  <w:rPr>
                    <w:rFonts w:asciiTheme="minorHAnsi" w:hAnsiTheme="minorHAnsi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</w:sdtPr>
              <w:sdtEndPr/>
              <w:sdtContent>
                <w:r w:rsidRPr="00DE4111">
                  <w:rPr>
                    <w:rFonts w:asciiTheme="minorHAnsi" w:hAnsiTheme="minorHAnsi" w:cstheme="minorBidi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BB6F89" w:rsidRPr="00591F23" w:rsidRDefault="00BB6F89" w:rsidP="00BB6F89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91F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o źródłach ciepła, energii elektrycznej lub spalania paliw wykorzystywanych w budynku lub jego części (lokalu):</w:t>
            </w:r>
          </w:p>
          <w:p w:rsidR="00BB6F89" w:rsidRPr="00591F23" w:rsidRDefault="00BB6F89" w:rsidP="00BB6F8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91F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rodzaj,</w:t>
            </w:r>
          </w:p>
          <w:p w:rsidR="00BB6F89" w:rsidRPr="00591F23" w:rsidRDefault="00BB6F89" w:rsidP="00BB6F8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91F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nominalna moc cieplna lub elektryczna,</w:t>
            </w:r>
          </w:p>
          <w:p w:rsidR="00BB6F89" w:rsidRPr="00AB2E4F" w:rsidRDefault="00BB6F89" w:rsidP="00BB6F8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91F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rodzaj paliwa i jego roczne zużycie,</w:t>
            </w:r>
          </w:p>
          <w:p w:rsidR="00BB6F89" w:rsidRPr="00591F23" w:rsidRDefault="00BB6F89" w:rsidP="00BB6F8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91F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rok produkcji,</w:t>
            </w:r>
          </w:p>
          <w:p w:rsidR="00BB6F89" w:rsidRPr="00591F23" w:rsidRDefault="00BB6F89" w:rsidP="00BB6F8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91F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przeznaczenie,</w:t>
            </w:r>
          </w:p>
          <w:p w:rsidR="00BB6F89" w:rsidRDefault="00BB6F89" w:rsidP="00BB6F8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91F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potwierdzenie spełnienia wymagań standardów niskoemisyjnych, </w:t>
            </w:r>
          </w:p>
          <w:p w:rsidR="00BB6F89" w:rsidRPr="00AB2E4F" w:rsidRDefault="00BB6F89" w:rsidP="00BB6F8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2E4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sposób podawania paliwa w kotle na paliwo stałe,</w:t>
            </w:r>
          </w:p>
          <w:p w:rsidR="00BB6F89" w:rsidRPr="00AB2E4F" w:rsidRDefault="00BB6F89" w:rsidP="00BB6F8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2E4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sprawność przy mocy nominalnej kotła na paliwo stałe,</w:t>
            </w:r>
          </w:p>
          <w:p w:rsidR="00BB6F89" w:rsidRPr="00AB2E4F" w:rsidRDefault="00BB6F89" w:rsidP="00BB6F8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2E4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urządzenie odpylające i jego sprawność w kotle na paliwo stałe,</w:t>
            </w:r>
          </w:p>
          <w:p w:rsidR="00BB6F89" w:rsidRDefault="00BB6F89" w:rsidP="00BB6F8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91F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klasa kotła na paliwo stałe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</w:p>
          <w:p w:rsidR="00BB6F89" w:rsidRDefault="00BB6F89" w:rsidP="00BB6F8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ta</w:t>
            </w: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 wynik kontroli przewodów kominowych (dymowych, spalinowych i wentylacyjnych), o której  mowa w art. 62 ust. 1 pkt 1 lit. c ustawy z dnia 7 lipca 1994 r. – Prawo budowlane (Dz. U. z 2020 r. poz. 1186, z późn. zm.)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</w:p>
          <w:p w:rsidR="00BB6F89" w:rsidRPr="00DE4111" w:rsidRDefault="00BB6F89" w:rsidP="00BB6F8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data</w:t>
            </w: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 wynik kontroli, o której mowa w art. 9u ustawy z dnia 13 września 1996 r. o utrzymaniu czystości i porządku w gminach (Dz. U. z 2019 r. poz. 2010 i 2020 oraz z 2020 r. poz. 150 i 284), w zakresie:</w:t>
            </w:r>
          </w:p>
          <w:p w:rsidR="00BB6F89" w:rsidRPr="00DE4111" w:rsidRDefault="00BB6F89" w:rsidP="00BB6F89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gospodarowania odpadami komunalnymi,</w:t>
            </w:r>
          </w:p>
          <w:p w:rsidR="00BB6F89" w:rsidRDefault="00BB6F89" w:rsidP="00BB6F89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odprowadzania nieczystości ciekłych;</w:t>
            </w:r>
          </w:p>
          <w:p w:rsidR="00BB6F89" w:rsidRPr="008E5E45" w:rsidRDefault="00BB6F89" w:rsidP="00BB6F8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data</w:t>
            </w: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 wynik kontroli, o której mowa w art. 379 ust. 1 ustawy z dnia 27 kwietnia 2001 r. – Prawo ochrony środowiska (Dz. U. z 2019 r. poz. 1396, z późn. zm.), w zakresie:</w:t>
            </w:r>
          </w:p>
          <w:p w:rsidR="00BB6F89" w:rsidRPr="00DE4111" w:rsidRDefault="00BB6F89" w:rsidP="00BB6F89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źródeł spalania paliw oraz rodzaju wykorzystywanego paliwa,</w:t>
            </w:r>
          </w:p>
          <w:p w:rsidR="00BB6F89" w:rsidRPr="00DE4111" w:rsidRDefault="00BB6F89" w:rsidP="00BB6F89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spełnienia wymagań określonych w uchwale, o której mowa w art. 96 ust. 1 tej </w:t>
            </w: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>ustawy,</w:t>
            </w:r>
          </w:p>
          <w:p w:rsidR="00BB6F89" w:rsidRPr="00DE4111" w:rsidRDefault="00BB6F89" w:rsidP="00BB6F89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ustalenia wysokości należnej opłaty za korzystanie ze środowiska, o której mowa w art. 284 ust. 1 tej ustawy;</w:t>
            </w:r>
          </w:p>
          <w:p w:rsidR="00BB6F89" w:rsidRDefault="00BB6F89" w:rsidP="00BB6F89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dacie usunięcia zanieczyszczenia z przewodów dymowych i spalinowych, o których mowa w § 34 rozporządzenia Ministra Spraw Wewnętrznych i Administracji z dnia 7 czerwca 2010 r. w sprawie ochrony przeciwpożarowej budynków, innych obiektów budowlanych i terenów (Dz. U.  poz. 719 oraz z 2019 r. poz. 67);</w:t>
            </w:r>
          </w:p>
          <w:p w:rsidR="00BB6F89" w:rsidRPr="00DE4111" w:rsidRDefault="00BB6F89" w:rsidP="00BB6F89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danych o przyznanej premii, udzielonej uldze podatkowej lub udzielonym ze środków publicznych dofinansowaniu przedsięwzięć związanych z ochroną powietrza, w zakresie: </w:t>
            </w:r>
          </w:p>
          <w:p w:rsidR="00BB6F89" w:rsidRPr="00DE4111" w:rsidRDefault="00BB6F89" w:rsidP="00BB6F89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rodzaju i kwoty udzielonego dofinansowania,</w:t>
            </w:r>
          </w:p>
          <w:p w:rsidR="00BB6F89" w:rsidRPr="00DE4111" w:rsidRDefault="00BB6F89" w:rsidP="00BB6F89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całkowitego kosztu przedsięwzięcia, </w:t>
            </w:r>
          </w:p>
          <w:p w:rsidR="00BB6F89" w:rsidRPr="00DE4111" w:rsidRDefault="00BB6F89" w:rsidP="00BB6F89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przedmiotu i źródła dofinansowania, </w:t>
            </w:r>
          </w:p>
          <w:p w:rsidR="00BB6F89" w:rsidRPr="00DE4111" w:rsidRDefault="00BB6F89" w:rsidP="00BB6F89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okresu trwałości przedsięwzięcia w ramach, którego udzielono dofinansowania;</w:t>
            </w:r>
          </w:p>
          <w:p w:rsidR="00BB6F89" w:rsidRPr="00DE4111" w:rsidRDefault="00BB6F89" w:rsidP="00BB6F8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danych o przyznanych świadczeniach z pomocy społecznej lub innych formach wsparcia finansowego ze środków publicznych w zakresie: </w:t>
            </w:r>
          </w:p>
          <w:p w:rsidR="00BB6F89" w:rsidRPr="00DE4111" w:rsidRDefault="00BB6F89" w:rsidP="00BB6F89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rodzaju i kwoty przyznanego świadczenia, </w:t>
            </w:r>
          </w:p>
          <w:p w:rsidR="002F726A" w:rsidRPr="002F726A" w:rsidRDefault="00BB6F8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                   </w:t>
            </w: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okres, na który przyznano pomoc.</w:t>
            </w:r>
          </w:p>
        </w:tc>
      </w:tr>
      <w:tr w:rsidR="002F726A" w:rsidRPr="002F726A" w:rsidTr="00506074">
        <w:trPr>
          <w:trHeight w:val="2305"/>
        </w:trPr>
        <w:tc>
          <w:tcPr>
            <w:tcW w:w="421" w:type="dxa"/>
          </w:tcPr>
          <w:p w:rsidR="002F726A" w:rsidRPr="002F726A" w:rsidRDefault="00BB6F89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 xml:space="preserve">         </w:t>
            </w: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</w:sdtPr>
              <w:sdtEndPr/>
              <w:sdtContent>
                <w:r w:rsidR="00082A7B" w:rsidRPr="00DE4111">
                  <w:rPr>
                    <w:rFonts w:asciiTheme="minorHAnsi" w:hAnsiTheme="minorHAnsi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</w:sdtPr>
              <w:sdtEndPr/>
              <w:sdtContent>
                <w:r w:rsidRPr="00DE4111">
                  <w:rPr>
                    <w:rFonts w:asciiTheme="minorHAnsi" w:hAnsiTheme="minorHAnsi" w:cstheme="minorBidi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6F6B5E" w:rsidRDefault="00506074" w:rsidP="00C951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0607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Do CEEB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będą </w:t>
            </w:r>
            <w:r w:rsidRPr="0050607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przekazywane automatycznie dane</w:t>
            </w:r>
            <w:r w:rsidR="006F6B5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z:</w:t>
            </w:r>
          </w:p>
          <w:p w:rsidR="006F6B5E" w:rsidRDefault="00506074" w:rsidP="006F6B5E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6B5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bazy danych obiektów topograficznych o szczegółowości zapewniającej tworzenie standardowych opracowań kartograficznych w skali 1:10000 (BDOT10k), </w:t>
            </w:r>
          </w:p>
          <w:p w:rsidR="006F6B5E" w:rsidRDefault="00506074" w:rsidP="006F6B5E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6B5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geodezyjnej ewidencji sieci uzbrojenia terenu (GESUT), </w:t>
            </w:r>
          </w:p>
          <w:p w:rsidR="006F6B5E" w:rsidRPr="002265DE" w:rsidRDefault="00506074" w:rsidP="002265DE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6B5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państwowego rejestru granic i powierzchni jednostek podziału terytorialnych kraju (PRG), </w:t>
            </w:r>
          </w:p>
          <w:p w:rsidR="006F6B5E" w:rsidRDefault="00506074" w:rsidP="006F6B5E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6B5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centralnego rejestru charakterystyki </w:t>
            </w:r>
            <w:r w:rsidR="006F6B5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energetycznej budynków, </w:t>
            </w:r>
          </w:p>
          <w:p w:rsidR="006F6B5E" w:rsidRDefault="00506074" w:rsidP="006F6B5E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6B5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centralnego rejestru osób posiadających uprawnienia </w:t>
            </w:r>
            <w:r w:rsidR="006F6B5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budowlane</w:t>
            </w:r>
            <w:r w:rsidR="005E087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="006F6B5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6F6B5E" w:rsidRDefault="00506074" w:rsidP="00C9516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6B5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centralnego rejestru ukaranych z tyt</w:t>
            </w:r>
            <w:r w:rsidR="005E087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ułu odpowiedzialności zawodowej,</w:t>
            </w:r>
          </w:p>
          <w:p w:rsidR="005E087D" w:rsidRPr="006F6B5E" w:rsidRDefault="005E087D" w:rsidP="00C9516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z baz danych podmiotów przetwarzających dane w ramach swojej działalności w zakresie wskazanym w art. 27a ust. 2 pkt 1 ustawy. </w:t>
            </w:r>
          </w:p>
          <w:p w:rsidR="006F6B5E" w:rsidRPr="00DE4111" w:rsidRDefault="006F6B5E" w:rsidP="006F6B5E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Dane o budynku lub jego części (lokalu), tj.: </w:t>
            </w:r>
          </w:p>
          <w:p w:rsidR="006F6B5E" w:rsidRPr="00DE4111" w:rsidRDefault="006F6B5E" w:rsidP="006F6B5E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adres;</w:t>
            </w:r>
          </w:p>
          <w:p w:rsidR="006F6B5E" w:rsidRPr="00DE4111" w:rsidRDefault="006F6B5E" w:rsidP="006F6B5E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identyfikator infrastruktury informacji przestrzenniej (idIIP);</w:t>
            </w:r>
          </w:p>
          <w:p w:rsidR="006F6B5E" w:rsidRPr="00DE4111" w:rsidRDefault="006F6B5E" w:rsidP="006F6B5E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funkcja ogólna;</w:t>
            </w:r>
          </w:p>
          <w:p w:rsidR="006F6B5E" w:rsidRPr="00DE4111" w:rsidRDefault="006F6B5E" w:rsidP="006F6B5E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liczba kondygnacji;</w:t>
            </w:r>
          </w:p>
          <w:p w:rsidR="006F6B5E" w:rsidRPr="002265DE" w:rsidRDefault="006F6B5E" w:rsidP="002265DE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data i wynik kontroli, o której mowa w art. 23 ust. 1 pkt 1 ustawy z dnia 29 lipca 2014 r. o charakterystyce energetycznej budynków (Dz. U. z 2020 r. poz. 213 i 471), w zakresie:</w:t>
            </w:r>
          </w:p>
          <w:p w:rsidR="006F6B5E" w:rsidRPr="00DE4111" w:rsidRDefault="006F6B5E" w:rsidP="006F6B5E">
            <w:pPr>
              <w:pStyle w:val="Akapitzlist"/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powierzchni użytkowej budynku lub lokalu,</w:t>
            </w:r>
          </w:p>
          <w:p w:rsidR="006F6B5E" w:rsidRPr="00DE4111" w:rsidRDefault="006F6B5E" w:rsidP="006F6B5E">
            <w:pPr>
              <w:pStyle w:val="Akapitzlist"/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roku produkcji kotła,</w:t>
            </w:r>
          </w:p>
          <w:p w:rsidR="006F6B5E" w:rsidRPr="00DE4111" w:rsidRDefault="006F6B5E" w:rsidP="006F6B5E">
            <w:pPr>
              <w:pStyle w:val="Akapitzlist"/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roku wykonania systemu ogrzewania,</w:t>
            </w:r>
          </w:p>
          <w:p w:rsidR="006F6B5E" w:rsidRPr="00DE4111" w:rsidRDefault="006F6B5E" w:rsidP="006F6B5E">
            <w:pPr>
              <w:pStyle w:val="Akapitzlist"/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mocy nominalnej kotła,</w:t>
            </w:r>
          </w:p>
          <w:p w:rsidR="006F6B5E" w:rsidRPr="00DE4111" w:rsidRDefault="006F6B5E" w:rsidP="006F6B5E">
            <w:pPr>
              <w:pStyle w:val="Akapitzlist"/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przeznaczenia kotła,</w:t>
            </w:r>
          </w:p>
          <w:p w:rsidR="006F6B5E" w:rsidRPr="00DE4111" w:rsidRDefault="006F6B5E" w:rsidP="006F6B5E">
            <w:pPr>
              <w:pStyle w:val="Akapitzlist"/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sprawności przy mocy nominalnej,</w:t>
            </w:r>
          </w:p>
          <w:p w:rsidR="006F6B5E" w:rsidRPr="00DE4111" w:rsidRDefault="006F6B5E" w:rsidP="006F6B5E">
            <w:pPr>
              <w:pStyle w:val="Akapitzlist"/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 xml:space="preserve">- alternatywnego źródła ciepła; </w:t>
            </w:r>
          </w:p>
          <w:p w:rsidR="006F6B5E" w:rsidRPr="00DE4111" w:rsidRDefault="006F6B5E" w:rsidP="006F6B5E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 sporządzonym świadectwie charakterystyki energetycznej budynku, o którym mowa w art. 3 ust. 1 i 2 ustawy z dnia 9 lipca 2014 r. o charakterystyce energetycznej budynków (Dz. U. z 2020 r. poz. 213 i 471), w zakresie:</w:t>
            </w:r>
          </w:p>
          <w:p w:rsidR="006F6B5E" w:rsidRPr="00DE4111" w:rsidRDefault="006F6B5E" w:rsidP="006F6B5E">
            <w:pPr>
              <w:pStyle w:val="Akapitzlist"/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współczynnika przenikania ciepła przegród zewnętrznych budynku,</w:t>
            </w:r>
          </w:p>
          <w:p w:rsidR="006F6B5E" w:rsidRPr="00DE4111" w:rsidRDefault="006F6B5E" w:rsidP="006F6B5E">
            <w:pPr>
              <w:pStyle w:val="Akapitzlist"/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systemu ogrzewczego, w tym wytwarzania, przesyłu, akumulacji, regulacji i wykorzystania ciepła,   </w:t>
            </w:r>
          </w:p>
          <w:p w:rsidR="006F6B5E" w:rsidRPr="00DE4111" w:rsidRDefault="006F6B5E" w:rsidP="006F6B5E">
            <w:pPr>
              <w:pStyle w:val="Akapitzlist"/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systemu przygotowania ciepłej wody użytkowej, w tym wytwarzania, przesyłu, akumulacji, regulacji i wykorzystania ciepła,   </w:t>
            </w:r>
          </w:p>
          <w:p w:rsidR="006F6B5E" w:rsidRPr="00DE4111" w:rsidRDefault="006F6B5E" w:rsidP="006F6B5E">
            <w:pPr>
              <w:pStyle w:val="Akapitzlist"/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powierzchni pomieszczeń o regulowanej temperaturze powietrza;</w:t>
            </w:r>
          </w:p>
          <w:p w:rsidR="002F726A" w:rsidRPr="00DE4111" w:rsidRDefault="005E087D" w:rsidP="00185BFD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 osobach wpisanych do: wykazu osób uprawnionych centralnego rejestru charakterystyki e</w:t>
            </w:r>
            <w:r w:rsidR="00185BFD"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nergetycznej budynku;</w:t>
            </w: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centralnego rejestru osób posiadających uprawnienia budowlane;</w:t>
            </w:r>
            <w:r w:rsidR="00185BFD"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DE41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centralnego rejestru ukaranych z tytułu odpowiedzialności zawodowej.</w:t>
            </w:r>
          </w:p>
        </w:tc>
      </w:tr>
    </w:tbl>
    <w:p w:rsidR="00A82E56" w:rsidRDefault="00A82E56"/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="00201D05">
              <w:fldChar w:fldCharType="begin"/>
            </w:r>
            <w:r w:rsidR="00201D05">
              <w:instrText xml:space="preserve"> REF form_danych \h  \* MERGEFORMAT </w:instrText>
            </w:r>
            <w:r w:rsidR="00201D05"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="00201D05"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</w:sdtPr>
              <w:sdtEndPr/>
              <w:sdtContent>
                <w:r w:rsidR="00082A7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</w:sdtPr>
              <w:sdtEndPr/>
              <w:sdtContent>
                <w:r w:rsidR="00082A7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</w:sdtPr>
              <w:sdtEndPr/>
              <w:sdtContent>
                <w:r w:rsidR="00082A7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</w:sdtPr>
              <w:sdtEndPr/>
              <w:sdtContent>
                <w:r w:rsidR="00082A7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lastRenderedPageBreak/>
        <w:t>identyfikatory obiektów przestrzennych tj. punkt adresowy, działka ewidencyjna, obręb ewidencyjny</w:t>
      </w:r>
    </w:p>
    <w:p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8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9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:rsidR="00D56C69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p w:rsidR="00A10D5B" w:rsidRDefault="00A10D5B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</w:p>
    <w:p w:rsidR="00A10D5B" w:rsidRPr="00062A7C" w:rsidRDefault="00A10D5B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A10D5B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D05" w:rsidRDefault="00201D05" w:rsidP="00DE4111">
      <w:pPr>
        <w:spacing w:after="0" w:line="240" w:lineRule="auto"/>
      </w:pPr>
      <w:r>
        <w:separator/>
      </w:r>
    </w:p>
  </w:endnote>
  <w:endnote w:type="continuationSeparator" w:id="0">
    <w:p w:rsidR="00201D05" w:rsidRDefault="00201D05" w:rsidP="00DE4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D05" w:rsidRDefault="00201D05" w:rsidP="00DE4111">
      <w:pPr>
        <w:spacing w:after="0" w:line="240" w:lineRule="auto"/>
      </w:pPr>
      <w:r>
        <w:separator/>
      </w:r>
    </w:p>
  </w:footnote>
  <w:footnote w:type="continuationSeparator" w:id="0">
    <w:p w:rsidR="00201D05" w:rsidRDefault="00201D05" w:rsidP="00DE4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57F7"/>
    <w:multiLevelType w:val="hybridMultilevel"/>
    <w:tmpl w:val="EAE61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A17A4"/>
    <w:multiLevelType w:val="hybridMultilevel"/>
    <w:tmpl w:val="28966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05617D"/>
    <w:multiLevelType w:val="hybridMultilevel"/>
    <w:tmpl w:val="81B6B024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F129E1"/>
    <w:multiLevelType w:val="hybridMultilevel"/>
    <w:tmpl w:val="A3ACA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D7966"/>
    <w:multiLevelType w:val="hybridMultilevel"/>
    <w:tmpl w:val="5CC6804E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182237"/>
    <w:multiLevelType w:val="hybridMultilevel"/>
    <w:tmpl w:val="5CC6804E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60F3A87"/>
    <w:multiLevelType w:val="hybridMultilevel"/>
    <w:tmpl w:val="254416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82A7B"/>
    <w:rsid w:val="00090F63"/>
    <w:rsid w:val="000A12EC"/>
    <w:rsid w:val="000F1C9C"/>
    <w:rsid w:val="0012562E"/>
    <w:rsid w:val="00185BFD"/>
    <w:rsid w:val="00201D05"/>
    <w:rsid w:val="002265DE"/>
    <w:rsid w:val="002347F4"/>
    <w:rsid w:val="00247169"/>
    <w:rsid w:val="00270AC5"/>
    <w:rsid w:val="002715A6"/>
    <w:rsid w:val="002C0105"/>
    <w:rsid w:val="002F726A"/>
    <w:rsid w:val="00304722"/>
    <w:rsid w:val="00386575"/>
    <w:rsid w:val="003A3579"/>
    <w:rsid w:val="003B36B9"/>
    <w:rsid w:val="00404CD6"/>
    <w:rsid w:val="00410C09"/>
    <w:rsid w:val="00412928"/>
    <w:rsid w:val="00435E28"/>
    <w:rsid w:val="005039A4"/>
    <w:rsid w:val="00506074"/>
    <w:rsid w:val="00591F23"/>
    <w:rsid w:val="005E087D"/>
    <w:rsid w:val="006012F9"/>
    <w:rsid w:val="00643164"/>
    <w:rsid w:val="00655EB8"/>
    <w:rsid w:val="00661C06"/>
    <w:rsid w:val="00664C0B"/>
    <w:rsid w:val="00691231"/>
    <w:rsid w:val="0069446D"/>
    <w:rsid w:val="006E044C"/>
    <w:rsid w:val="006E4945"/>
    <w:rsid w:val="006F6B5E"/>
    <w:rsid w:val="007641E6"/>
    <w:rsid w:val="007C24F8"/>
    <w:rsid w:val="008E5E45"/>
    <w:rsid w:val="009053EE"/>
    <w:rsid w:val="009A6711"/>
    <w:rsid w:val="009C5D89"/>
    <w:rsid w:val="00A04F7A"/>
    <w:rsid w:val="00A0608B"/>
    <w:rsid w:val="00A10D5B"/>
    <w:rsid w:val="00A53597"/>
    <w:rsid w:val="00A64284"/>
    <w:rsid w:val="00A82E56"/>
    <w:rsid w:val="00AA4626"/>
    <w:rsid w:val="00AB2E4F"/>
    <w:rsid w:val="00AE1E87"/>
    <w:rsid w:val="00BA189B"/>
    <w:rsid w:val="00BB6F89"/>
    <w:rsid w:val="00C06375"/>
    <w:rsid w:val="00C829D5"/>
    <w:rsid w:val="00C9516A"/>
    <w:rsid w:val="00CC4B02"/>
    <w:rsid w:val="00D56C69"/>
    <w:rsid w:val="00DE4111"/>
    <w:rsid w:val="00EA274F"/>
    <w:rsid w:val="00EB3DAC"/>
    <w:rsid w:val="00F116F0"/>
    <w:rsid w:val="00F13791"/>
    <w:rsid w:val="00F311AF"/>
    <w:rsid w:val="00FB5DC3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A6F7F6-C434-46E0-AD08-99A06791A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044C"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6B5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6B5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6F6B5E"/>
    <w:pPr>
      <w:ind w:left="720"/>
      <w:contextualSpacing/>
    </w:pPr>
  </w:style>
  <w:style w:type="character" w:styleId="Odwoanieprzypisudolnego">
    <w:name w:val="footnote reference"/>
    <w:uiPriority w:val="99"/>
    <w:rsid w:val="00DE4111"/>
    <w:rPr>
      <w:vertAlign w:val="superscript"/>
    </w:rPr>
  </w:style>
  <w:style w:type="paragraph" w:customStyle="1" w:styleId="ODNONIKtreodnonika">
    <w:name w:val="ODNOŚNIK – treść odnośnika"/>
    <w:uiPriority w:val="99"/>
    <w:qFormat/>
    <w:rsid w:val="00DE4111"/>
    <w:pPr>
      <w:spacing w:after="0" w:line="240" w:lineRule="auto"/>
      <w:ind w:left="284" w:hanging="284"/>
      <w:jc w:val="both"/>
    </w:pPr>
    <w:rPr>
      <w:rFonts w:ascii="Times New Roman" w:hAnsi="Times New Roman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Regu%C5%82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Informa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4B9A3-3F32-4A87-A94B-FCCEEA609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1571</Words>
  <Characters>9432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Marczak-Redecka Joanna</cp:lastModifiedBy>
  <cp:revision>2</cp:revision>
  <dcterms:created xsi:type="dcterms:W3CDTF">2020-06-15T09:00:00Z</dcterms:created>
  <dcterms:modified xsi:type="dcterms:W3CDTF">2020-06-15T09:00:00Z</dcterms:modified>
</cp:coreProperties>
</file>